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F011CE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MCT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4EC9">
        <w:rPr>
          <w:rFonts w:ascii="Arial" w:hAnsi="Arial" w:cs="Arial"/>
          <w:sz w:val="20"/>
          <w:szCs w:val="20"/>
        </w:rPr>
        <w:t>30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011CE" w:rsidRPr="00F011CE">
        <w:rPr>
          <w:rFonts w:ascii="Arial" w:hAnsi="Arial" w:cs="Arial"/>
          <w:sz w:val="20"/>
          <w:szCs w:val="20"/>
        </w:rPr>
        <w:t>Material trading and construction Joint Stock Company</w:t>
      </w:r>
      <w:r w:rsidR="00F011CE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011CE" w:rsidRDefault="00F011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F011CE">
        <w:rPr>
          <w:rFonts w:ascii="Arial" w:hAnsi="Arial" w:cs="Arial"/>
          <w:sz w:val="20"/>
          <w:szCs w:val="20"/>
        </w:rPr>
        <w:t xml:space="preserve"> Approve the results of production and business activities in 2019 </w:t>
      </w:r>
    </w:p>
    <w:p w:rsidR="00F011CE" w:rsidRDefault="00F011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11CE">
        <w:rPr>
          <w:rFonts w:ascii="Arial" w:hAnsi="Arial" w:cs="Arial"/>
          <w:sz w:val="20"/>
          <w:szCs w:val="20"/>
        </w:rPr>
        <w:t xml:space="preserve">Unit: VND billion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265"/>
        <w:gridCol w:w="1368"/>
        <w:gridCol w:w="1367"/>
        <w:gridCol w:w="1368"/>
        <w:gridCol w:w="1368"/>
        <w:gridCol w:w="1368"/>
      </w:tblGrid>
      <w:tr w:rsidR="00F011CE" w:rsidTr="00F011CE">
        <w:tc>
          <w:tcPr>
            <w:tcW w:w="472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65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2018</w:t>
            </w:r>
          </w:p>
        </w:tc>
        <w:tc>
          <w:tcPr>
            <w:tcW w:w="1367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2019/ 2018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rate of 2019 plan</w:t>
            </w:r>
          </w:p>
        </w:tc>
      </w:tr>
      <w:tr w:rsidR="00F011CE" w:rsidTr="00F011CE">
        <w:tc>
          <w:tcPr>
            <w:tcW w:w="472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Total production and business value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363.76</w:t>
            </w:r>
          </w:p>
        </w:tc>
        <w:tc>
          <w:tcPr>
            <w:tcW w:w="1367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544.74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574.4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  <w:r w:rsidRPr="00F011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F011CE" w:rsidTr="00F011CE">
        <w:tc>
          <w:tcPr>
            <w:tcW w:w="472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5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221.57</w:t>
            </w:r>
          </w:p>
        </w:tc>
        <w:tc>
          <w:tcPr>
            <w:tcW w:w="1367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450.35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386.5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174.44%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85.8%</w:t>
            </w:r>
          </w:p>
        </w:tc>
      </w:tr>
      <w:tr w:rsidR="00F011CE" w:rsidTr="00F011CE">
        <w:tc>
          <w:tcPr>
            <w:tcW w:w="472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5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2.58</w:t>
            </w:r>
          </w:p>
        </w:tc>
        <w:tc>
          <w:tcPr>
            <w:tcW w:w="1367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85.3%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49%</w:t>
            </w:r>
          </w:p>
        </w:tc>
      </w:tr>
      <w:tr w:rsidR="00F011CE" w:rsidTr="00F011CE">
        <w:tc>
          <w:tcPr>
            <w:tcW w:w="472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5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Budget contribution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6.72</w:t>
            </w:r>
          </w:p>
        </w:tc>
        <w:tc>
          <w:tcPr>
            <w:tcW w:w="1367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92.3%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F011CE" w:rsidTr="00F011CE">
        <w:tc>
          <w:tcPr>
            <w:tcW w:w="472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5" w:type="dxa"/>
          </w:tcPr>
          <w:p w:rsidR="00F011CE" w:rsidRDefault="00F011CE" w:rsidP="00F01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 xml:space="preserve">Average income (VND </w:t>
            </w:r>
            <w:r>
              <w:rPr>
                <w:rFonts w:ascii="Arial" w:hAnsi="Arial" w:cs="Arial"/>
                <w:sz w:val="20"/>
                <w:szCs w:val="20"/>
              </w:rPr>
              <w:t>million/person/</w:t>
            </w:r>
            <w:r w:rsidRPr="00F011CE">
              <w:rPr>
                <w:rFonts w:ascii="Arial" w:hAnsi="Arial" w:cs="Arial"/>
                <w:sz w:val="20"/>
                <w:szCs w:val="20"/>
              </w:rPr>
              <w:t>month)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367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106.25%</w:t>
            </w:r>
          </w:p>
        </w:tc>
      </w:tr>
      <w:tr w:rsidR="00F011CE" w:rsidTr="00F011CE">
        <w:tc>
          <w:tcPr>
            <w:tcW w:w="472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5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Dividend rate%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 xml:space="preserve">6.0  </w:t>
            </w:r>
          </w:p>
        </w:tc>
        <w:tc>
          <w:tcPr>
            <w:tcW w:w="1367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116.67%</w:t>
            </w:r>
          </w:p>
        </w:tc>
        <w:tc>
          <w:tcPr>
            <w:tcW w:w="136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87.5%</w:t>
            </w:r>
          </w:p>
        </w:tc>
      </w:tr>
    </w:tbl>
    <w:p w:rsidR="00F011CE" w:rsidRDefault="00F011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11CE" w:rsidRDefault="00F011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main indicators in the 2020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780"/>
        <w:gridCol w:w="2664"/>
        <w:gridCol w:w="2394"/>
      </w:tblGrid>
      <w:tr w:rsidR="00F011CE" w:rsidTr="00E91C83">
        <w:tc>
          <w:tcPr>
            <w:tcW w:w="738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indicators</w:t>
            </w:r>
          </w:p>
        </w:tc>
        <w:tc>
          <w:tcPr>
            <w:tcW w:w="2664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F011CE" w:rsidRDefault="00F011C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</w:tr>
      <w:tr w:rsidR="00E91C83" w:rsidTr="00E91C83">
        <w:tc>
          <w:tcPr>
            <w:tcW w:w="73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Total production and business value</w:t>
            </w:r>
          </w:p>
        </w:tc>
        <w:tc>
          <w:tcPr>
            <w:tcW w:w="2664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</w:tr>
      <w:tr w:rsidR="00E91C83" w:rsidTr="00E91C83">
        <w:tc>
          <w:tcPr>
            <w:tcW w:w="73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2664" w:type="dxa"/>
          </w:tcPr>
          <w:p w:rsidR="00E91C83" w:rsidRDefault="00E91C83" w:rsidP="00E91C83">
            <w:r w:rsidRPr="006645B2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</w:tr>
      <w:tr w:rsidR="00E91C83" w:rsidTr="00E91C83">
        <w:tc>
          <w:tcPr>
            <w:tcW w:w="73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and b</w:t>
            </w:r>
            <w:r w:rsidRPr="00F011CE">
              <w:rPr>
                <w:rFonts w:ascii="Arial" w:hAnsi="Arial" w:cs="Arial"/>
                <w:sz w:val="20"/>
                <w:szCs w:val="20"/>
              </w:rPr>
              <w:t>udget contribution</w:t>
            </w:r>
          </w:p>
        </w:tc>
        <w:tc>
          <w:tcPr>
            <w:tcW w:w="2664" w:type="dxa"/>
          </w:tcPr>
          <w:p w:rsidR="00E91C83" w:rsidRDefault="00E91C83" w:rsidP="00E91C83">
            <w:r w:rsidRPr="006645B2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1C83" w:rsidTr="00E91C83">
        <w:tc>
          <w:tcPr>
            <w:tcW w:w="73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664" w:type="dxa"/>
          </w:tcPr>
          <w:p w:rsidR="00E91C83" w:rsidRDefault="00E91C83" w:rsidP="00E91C83">
            <w:r w:rsidRPr="006645B2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94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91C83" w:rsidTr="00E91C83">
        <w:tc>
          <w:tcPr>
            <w:tcW w:w="73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 xml:space="preserve">Average income </w:t>
            </w:r>
          </w:p>
        </w:tc>
        <w:tc>
          <w:tcPr>
            <w:tcW w:w="2664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 xml:space="preserve">(VND </w:t>
            </w:r>
            <w:r>
              <w:rPr>
                <w:rFonts w:ascii="Arial" w:hAnsi="Arial" w:cs="Arial"/>
                <w:sz w:val="20"/>
                <w:szCs w:val="20"/>
              </w:rPr>
              <w:t>million/person/</w:t>
            </w:r>
            <w:r w:rsidRPr="00F011CE">
              <w:rPr>
                <w:rFonts w:ascii="Arial" w:hAnsi="Arial" w:cs="Arial"/>
                <w:sz w:val="20"/>
                <w:szCs w:val="20"/>
              </w:rPr>
              <w:t>month)</w:t>
            </w:r>
          </w:p>
        </w:tc>
        <w:tc>
          <w:tcPr>
            <w:tcW w:w="2394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E91C83" w:rsidTr="00E91C83">
        <w:tc>
          <w:tcPr>
            <w:tcW w:w="73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Dividend rate</w:t>
            </w:r>
          </w:p>
        </w:tc>
        <w:tc>
          <w:tcPr>
            <w:tcW w:w="2664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1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94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</w:tbl>
    <w:p w:rsidR="00F011CE" w:rsidRDefault="00F011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1C83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E91C83">
        <w:rPr>
          <w:rFonts w:ascii="Arial" w:hAnsi="Arial" w:cs="Arial"/>
          <w:sz w:val="20"/>
          <w:szCs w:val="20"/>
        </w:rPr>
        <w:t xml:space="preserve"> Approving the Investment Plan </w:t>
      </w:r>
      <w:r>
        <w:rPr>
          <w:rFonts w:ascii="Arial" w:hAnsi="Arial" w:cs="Arial"/>
          <w:sz w:val="20"/>
          <w:szCs w:val="20"/>
        </w:rPr>
        <w:t xml:space="preserve">for </w:t>
      </w:r>
      <w:r w:rsidRPr="00E91C83">
        <w:rPr>
          <w:rFonts w:ascii="Arial" w:hAnsi="Arial" w:cs="Arial"/>
          <w:sz w:val="20"/>
          <w:szCs w:val="20"/>
        </w:rPr>
        <w:t xml:space="preserve">2020 </w:t>
      </w:r>
    </w:p>
    <w:p w:rsidR="00E91C83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1C83">
        <w:rPr>
          <w:rFonts w:ascii="Arial" w:hAnsi="Arial" w:cs="Arial"/>
          <w:sz w:val="20"/>
          <w:szCs w:val="20"/>
        </w:rPr>
        <w:t>Focusing on the acceptance, transfer, sett</w:t>
      </w:r>
      <w:r>
        <w:rPr>
          <w:rFonts w:ascii="Arial" w:hAnsi="Arial" w:cs="Arial"/>
          <w:sz w:val="20"/>
          <w:szCs w:val="20"/>
        </w:rPr>
        <w:t>lement and auditing of VIETDUC C</w:t>
      </w:r>
      <w:r w:rsidRPr="00E91C83">
        <w:rPr>
          <w:rFonts w:ascii="Arial" w:hAnsi="Arial" w:cs="Arial"/>
          <w:sz w:val="20"/>
          <w:szCs w:val="20"/>
        </w:rPr>
        <w:t xml:space="preserve">omplex office, service and housing projects at 164 </w:t>
      </w:r>
      <w:proofErr w:type="spellStart"/>
      <w:r w:rsidRPr="00E91C83">
        <w:rPr>
          <w:rFonts w:ascii="Arial" w:hAnsi="Arial" w:cs="Arial"/>
          <w:sz w:val="20"/>
          <w:szCs w:val="20"/>
        </w:rPr>
        <w:t>Khuat</w:t>
      </w:r>
      <w:proofErr w:type="spellEnd"/>
      <w:r w:rsidRPr="00E91C83">
        <w:rPr>
          <w:rFonts w:ascii="Arial" w:hAnsi="Arial" w:cs="Arial"/>
          <w:sz w:val="20"/>
          <w:szCs w:val="20"/>
        </w:rPr>
        <w:t xml:space="preserve"> Duy Tien, ensuring the rights </w:t>
      </w:r>
      <w:r>
        <w:rPr>
          <w:rFonts w:ascii="Arial" w:hAnsi="Arial" w:cs="Arial"/>
          <w:sz w:val="20"/>
          <w:szCs w:val="20"/>
        </w:rPr>
        <w:t>and obligations of the parties</w:t>
      </w:r>
    </w:p>
    <w:p w:rsidR="00E91C83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91C83">
        <w:rPr>
          <w:rFonts w:ascii="Arial" w:hAnsi="Arial" w:cs="Arial"/>
          <w:sz w:val="20"/>
          <w:szCs w:val="20"/>
        </w:rPr>
        <w:t xml:space="preserve">Continue to carry out legal procedures to sign a land lease contract and apply for a land use right certificate at </w:t>
      </w:r>
      <w:r>
        <w:rPr>
          <w:rFonts w:ascii="Arial" w:hAnsi="Arial" w:cs="Arial"/>
          <w:sz w:val="20"/>
          <w:szCs w:val="20"/>
        </w:rPr>
        <w:t xml:space="preserve">No. </w:t>
      </w:r>
      <w:r w:rsidRPr="00E91C83">
        <w:rPr>
          <w:rFonts w:ascii="Arial" w:hAnsi="Arial" w:cs="Arial"/>
          <w:sz w:val="20"/>
          <w:szCs w:val="20"/>
        </w:rPr>
        <w:t xml:space="preserve">145 Doc </w:t>
      </w:r>
      <w:proofErr w:type="spellStart"/>
      <w:r w:rsidRPr="00E91C83">
        <w:rPr>
          <w:rFonts w:ascii="Arial" w:hAnsi="Arial" w:cs="Arial"/>
          <w:sz w:val="20"/>
          <w:szCs w:val="20"/>
        </w:rPr>
        <w:t>Ngu</w:t>
      </w:r>
      <w:proofErr w:type="spellEnd"/>
      <w:r w:rsidRPr="00E91C83">
        <w:rPr>
          <w:rFonts w:ascii="Arial" w:hAnsi="Arial" w:cs="Arial"/>
          <w:sz w:val="20"/>
          <w:szCs w:val="20"/>
        </w:rPr>
        <w:t xml:space="preserve">, Lieu </w:t>
      </w:r>
      <w:proofErr w:type="spellStart"/>
      <w:r w:rsidRPr="00E91C83">
        <w:rPr>
          <w:rFonts w:ascii="Arial" w:hAnsi="Arial" w:cs="Arial"/>
          <w:sz w:val="20"/>
          <w:szCs w:val="20"/>
        </w:rPr>
        <w:t>Gia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Ward, Ba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E91C83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E91C83">
        <w:rPr>
          <w:rFonts w:ascii="Arial" w:hAnsi="Arial" w:cs="Arial"/>
          <w:sz w:val="20"/>
          <w:szCs w:val="20"/>
        </w:rPr>
        <w:t xml:space="preserve"> Finding suitable and effective investment plans at the land</w:t>
      </w:r>
      <w:r>
        <w:rPr>
          <w:rFonts w:ascii="Arial" w:hAnsi="Arial" w:cs="Arial"/>
          <w:sz w:val="20"/>
          <w:szCs w:val="20"/>
        </w:rPr>
        <w:t xml:space="preserve"> area</w:t>
      </w:r>
      <w:r w:rsidRPr="00E91C83">
        <w:rPr>
          <w:rFonts w:ascii="Arial" w:hAnsi="Arial" w:cs="Arial"/>
          <w:sz w:val="20"/>
          <w:szCs w:val="20"/>
        </w:rPr>
        <w:t xml:space="preserve"> in Ngoc Son Industrial Cluster, </w:t>
      </w:r>
      <w:proofErr w:type="spellStart"/>
      <w:r w:rsidRPr="00E91C83">
        <w:rPr>
          <w:rFonts w:ascii="Arial" w:hAnsi="Arial" w:cs="Arial"/>
          <w:sz w:val="20"/>
          <w:szCs w:val="20"/>
        </w:rPr>
        <w:t>Chuc</w:t>
      </w:r>
      <w:proofErr w:type="spellEnd"/>
      <w:r w:rsidRPr="00E91C83">
        <w:rPr>
          <w:rFonts w:ascii="Arial" w:hAnsi="Arial" w:cs="Arial"/>
          <w:sz w:val="20"/>
          <w:szCs w:val="20"/>
        </w:rPr>
        <w:t xml:space="preserve"> Son </w:t>
      </w:r>
      <w:r>
        <w:rPr>
          <w:rFonts w:ascii="Arial" w:hAnsi="Arial" w:cs="Arial"/>
          <w:sz w:val="20"/>
          <w:szCs w:val="20"/>
        </w:rPr>
        <w:t xml:space="preserve">town, </w:t>
      </w:r>
      <w:proofErr w:type="spellStart"/>
      <w:r>
        <w:rPr>
          <w:rFonts w:ascii="Arial" w:hAnsi="Arial" w:cs="Arial"/>
          <w:sz w:val="20"/>
          <w:szCs w:val="20"/>
        </w:rPr>
        <w:t>Chuong</w:t>
      </w:r>
      <w:proofErr w:type="spellEnd"/>
      <w:r>
        <w:rPr>
          <w:rFonts w:ascii="Arial" w:hAnsi="Arial" w:cs="Arial"/>
          <w:sz w:val="20"/>
          <w:szCs w:val="20"/>
        </w:rPr>
        <w:t xml:space="preserve"> My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F011CE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91C83">
        <w:rPr>
          <w:rFonts w:ascii="Arial" w:hAnsi="Arial" w:cs="Arial"/>
          <w:sz w:val="20"/>
          <w:szCs w:val="20"/>
        </w:rPr>
        <w:t xml:space="preserve"> Implementing the divestment of State capital in accordance with the policy of the Government, the Ministry of Construction and </w:t>
      </w: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Construction Corporation – JSC</w:t>
      </w:r>
    </w:p>
    <w:p w:rsidR="00E91C83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report of the Board of Directors on development direction and supervision, direction of 2019 business activities and operation plan for 2020</w:t>
      </w:r>
    </w:p>
    <w:p w:rsidR="00E91C83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the report of the Supervisor Board in 2019 and operation plan for 2020</w:t>
      </w:r>
    </w:p>
    <w:p w:rsidR="00E91C83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the audited financial statement of 2019</w:t>
      </w:r>
    </w:p>
    <w:p w:rsidR="00E91C83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 the plan on profit distribution for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0"/>
        <w:gridCol w:w="2448"/>
      </w:tblGrid>
      <w:tr w:rsidR="00E91C83" w:rsidTr="00E91C83">
        <w:tc>
          <w:tcPr>
            <w:tcW w:w="64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480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44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(VND)</w:t>
            </w:r>
          </w:p>
        </w:tc>
      </w:tr>
      <w:tr w:rsidR="00E91C83" w:rsidTr="00E91C83">
        <w:tc>
          <w:tcPr>
            <w:tcW w:w="64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4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2,182,809,269</w:t>
            </w:r>
          </w:p>
        </w:tc>
      </w:tr>
      <w:tr w:rsidR="00E91C83" w:rsidTr="00E91C83">
        <w:tc>
          <w:tcPr>
            <w:tcW w:w="64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0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24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1,751,724,373</w:t>
            </w:r>
          </w:p>
        </w:tc>
      </w:tr>
      <w:tr w:rsidR="00E91C83" w:rsidTr="00E91C83">
        <w:tc>
          <w:tcPr>
            <w:tcW w:w="648" w:type="dxa"/>
          </w:tcPr>
          <w:p w:rsidR="00E91C83" w:rsidRDefault="00E91C83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80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profit accumulated until 31 Dec 2019</w:t>
            </w:r>
          </w:p>
        </w:tc>
        <w:tc>
          <w:tcPr>
            <w:tcW w:w="24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2,325,450,900</w:t>
            </w:r>
          </w:p>
        </w:tc>
      </w:tr>
      <w:tr w:rsidR="00E91C83" w:rsidTr="00E91C83">
        <w:tc>
          <w:tcPr>
            <w:tcW w:w="6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480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 undistributed profit of previous years</w:t>
            </w:r>
          </w:p>
        </w:tc>
        <w:tc>
          <w:tcPr>
            <w:tcW w:w="24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573,726,527</w:t>
            </w:r>
          </w:p>
        </w:tc>
      </w:tr>
      <w:tr w:rsidR="00E91C83" w:rsidTr="00E91C83">
        <w:tc>
          <w:tcPr>
            <w:tcW w:w="6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480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 undistributed profit of 2019</w:t>
            </w:r>
          </w:p>
        </w:tc>
        <w:tc>
          <w:tcPr>
            <w:tcW w:w="24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1,751,724,373</w:t>
            </w:r>
          </w:p>
        </w:tc>
      </w:tr>
      <w:tr w:rsidR="00E91C83" w:rsidTr="00E91C83">
        <w:tc>
          <w:tcPr>
            <w:tcW w:w="6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80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distribution </w:t>
            </w:r>
          </w:p>
        </w:tc>
        <w:tc>
          <w:tcPr>
            <w:tcW w:w="24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1,982,545,000</w:t>
            </w:r>
          </w:p>
        </w:tc>
      </w:tr>
      <w:tr w:rsidR="00E91C83" w:rsidTr="00E91C83">
        <w:tc>
          <w:tcPr>
            <w:tcW w:w="6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480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cash dividend payment (7%/ charter capital of VND 25 billion)</w:t>
            </w:r>
          </w:p>
        </w:tc>
        <w:tc>
          <w:tcPr>
            <w:tcW w:w="24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1,750,000,000</w:t>
            </w:r>
          </w:p>
        </w:tc>
      </w:tr>
      <w:tr w:rsidR="00E91C83" w:rsidTr="00E91C83">
        <w:tc>
          <w:tcPr>
            <w:tcW w:w="6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480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and Reward Fund (10% of undistributed profit)</w:t>
            </w:r>
          </w:p>
        </w:tc>
        <w:tc>
          <w:tcPr>
            <w:tcW w:w="2448" w:type="dxa"/>
          </w:tcPr>
          <w:p w:rsidR="00E91C83" w:rsidRDefault="00917894" w:rsidP="00E91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232,545,000</w:t>
            </w:r>
          </w:p>
        </w:tc>
      </w:tr>
    </w:tbl>
    <w:p w:rsidR="00E91C83" w:rsidRDefault="00E91C83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Pr="00917894">
        <w:rPr>
          <w:rFonts w:ascii="Arial" w:hAnsi="Arial" w:cs="Arial"/>
          <w:sz w:val="20"/>
          <w:szCs w:val="20"/>
        </w:rPr>
        <w:t xml:space="preserve"> Approving finalization of remuneration for 2019 and remuneration paid to members of the </w:t>
      </w:r>
      <w:r>
        <w:rPr>
          <w:rFonts w:ascii="Arial" w:hAnsi="Arial" w:cs="Arial"/>
          <w:sz w:val="20"/>
          <w:szCs w:val="20"/>
        </w:rPr>
        <w:t>Board of Directors</w:t>
      </w:r>
      <w:r w:rsidRPr="00917894">
        <w:rPr>
          <w:rFonts w:ascii="Arial" w:hAnsi="Arial" w:cs="Arial"/>
          <w:sz w:val="20"/>
          <w:szCs w:val="20"/>
        </w:rPr>
        <w:t xml:space="preserve">, Supervisory Board in 2020: 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Pr="00917894">
        <w:rPr>
          <w:rFonts w:ascii="Arial" w:hAnsi="Arial" w:cs="Arial"/>
          <w:sz w:val="20"/>
          <w:szCs w:val="20"/>
        </w:rPr>
        <w:t xml:space="preserve"> Approving finalization of the remuneration paid to the Board of Directors and </w:t>
      </w:r>
      <w:r>
        <w:rPr>
          <w:rFonts w:ascii="Arial" w:hAnsi="Arial" w:cs="Arial"/>
          <w:sz w:val="20"/>
          <w:szCs w:val="20"/>
        </w:rPr>
        <w:t>the Supervisory Board in 2019: VND 142,800,000/year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</w:t>
      </w:r>
      <w:r w:rsidRPr="00917894">
        <w:rPr>
          <w:rFonts w:ascii="Arial" w:hAnsi="Arial" w:cs="Arial"/>
          <w:sz w:val="20"/>
          <w:szCs w:val="20"/>
        </w:rPr>
        <w:t xml:space="preserve">Approving the remuneration paid to the Board of Directors and the Supervisory Board in 2020 as follows: 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894">
        <w:rPr>
          <w:rFonts w:ascii="Arial" w:hAnsi="Arial" w:cs="Arial"/>
          <w:sz w:val="20"/>
          <w:szCs w:val="20"/>
        </w:rPr>
        <w:t xml:space="preserve">Chairman and Deputy Chairman of the Board of Directors: </w:t>
      </w:r>
      <w:r>
        <w:rPr>
          <w:rFonts w:ascii="Arial" w:hAnsi="Arial" w:cs="Arial"/>
          <w:sz w:val="20"/>
          <w:szCs w:val="20"/>
        </w:rPr>
        <w:t>VND 2,500,000/</w:t>
      </w:r>
      <w:r w:rsidRPr="00917894">
        <w:rPr>
          <w:rFonts w:ascii="Arial" w:hAnsi="Arial" w:cs="Arial"/>
          <w:sz w:val="20"/>
          <w:szCs w:val="20"/>
        </w:rPr>
        <w:t xml:space="preserve">month 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894">
        <w:rPr>
          <w:rFonts w:ascii="Arial" w:hAnsi="Arial" w:cs="Arial"/>
          <w:sz w:val="20"/>
          <w:szCs w:val="20"/>
        </w:rPr>
        <w:t xml:space="preserve">Members of the Board of Directors: </w:t>
      </w:r>
      <w:r>
        <w:rPr>
          <w:rFonts w:ascii="Arial" w:hAnsi="Arial" w:cs="Arial"/>
          <w:sz w:val="20"/>
          <w:szCs w:val="20"/>
        </w:rPr>
        <w:t>VND 1,500,000/</w:t>
      </w:r>
      <w:r w:rsidRPr="00917894">
        <w:rPr>
          <w:rFonts w:ascii="Arial" w:hAnsi="Arial" w:cs="Arial"/>
          <w:sz w:val="20"/>
          <w:szCs w:val="20"/>
        </w:rPr>
        <w:t xml:space="preserve">month 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894">
        <w:rPr>
          <w:rFonts w:ascii="Arial" w:hAnsi="Arial" w:cs="Arial"/>
          <w:sz w:val="20"/>
          <w:szCs w:val="20"/>
        </w:rPr>
        <w:t xml:space="preserve">Head of the Supervisory Board: </w:t>
      </w:r>
      <w:r>
        <w:rPr>
          <w:rFonts w:ascii="Arial" w:hAnsi="Arial" w:cs="Arial"/>
          <w:sz w:val="20"/>
          <w:szCs w:val="20"/>
        </w:rPr>
        <w:t>VND 1,000,000/</w:t>
      </w:r>
      <w:r w:rsidRPr="00917894">
        <w:rPr>
          <w:rFonts w:ascii="Arial" w:hAnsi="Arial" w:cs="Arial"/>
          <w:sz w:val="20"/>
          <w:szCs w:val="20"/>
        </w:rPr>
        <w:t xml:space="preserve">month 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894">
        <w:rPr>
          <w:rFonts w:ascii="Arial" w:hAnsi="Arial" w:cs="Arial"/>
          <w:sz w:val="20"/>
          <w:szCs w:val="20"/>
        </w:rPr>
        <w:t xml:space="preserve">Member of Supervisory Board: </w:t>
      </w:r>
      <w:r>
        <w:rPr>
          <w:rFonts w:ascii="Arial" w:hAnsi="Arial" w:cs="Arial"/>
          <w:sz w:val="20"/>
          <w:szCs w:val="20"/>
        </w:rPr>
        <w:t>VND 700,000/</w:t>
      </w:r>
      <w:r w:rsidRPr="00917894">
        <w:rPr>
          <w:rFonts w:ascii="Arial" w:hAnsi="Arial" w:cs="Arial"/>
          <w:sz w:val="20"/>
          <w:szCs w:val="20"/>
        </w:rPr>
        <w:t xml:space="preserve">month 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9:</w:t>
      </w:r>
      <w:r w:rsidRPr="00917894">
        <w:rPr>
          <w:rFonts w:ascii="Arial" w:hAnsi="Arial" w:cs="Arial"/>
          <w:sz w:val="20"/>
          <w:szCs w:val="20"/>
        </w:rPr>
        <w:t xml:space="preserve"> Approving the proposal of selecting an auditing unit </w:t>
      </w:r>
      <w:r>
        <w:rPr>
          <w:rFonts w:ascii="Arial" w:hAnsi="Arial" w:cs="Arial"/>
          <w:sz w:val="20"/>
          <w:szCs w:val="20"/>
        </w:rPr>
        <w:t>for the financial statement of 2020. T</w:t>
      </w:r>
      <w:r w:rsidRPr="0091789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annual General Meeting of Shareholders authorizes</w:t>
      </w:r>
      <w:r w:rsidRPr="00917894">
        <w:rPr>
          <w:rFonts w:ascii="Arial" w:hAnsi="Arial" w:cs="Arial"/>
          <w:sz w:val="20"/>
          <w:szCs w:val="20"/>
        </w:rPr>
        <w:t xml:space="preserve"> the B</w:t>
      </w:r>
      <w:r>
        <w:rPr>
          <w:rFonts w:ascii="Arial" w:hAnsi="Arial" w:cs="Arial"/>
          <w:sz w:val="20"/>
          <w:szCs w:val="20"/>
        </w:rPr>
        <w:t>oard of Directors to choose one</w:t>
      </w:r>
      <w:r w:rsidRPr="00917894">
        <w:rPr>
          <w:rFonts w:ascii="Arial" w:hAnsi="Arial" w:cs="Arial"/>
          <w:sz w:val="20"/>
          <w:szCs w:val="20"/>
        </w:rPr>
        <w:t xml:space="preserve"> of the three independent auditing units below to audit and review the </w:t>
      </w:r>
      <w:r>
        <w:rPr>
          <w:rFonts w:ascii="Arial" w:hAnsi="Arial" w:cs="Arial"/>
          <w:sz w:val="20"/>
          <w:szCs w:val="20"/>
        </w:rPr>
        <w:t>financial statement of</w:t>
      </w:r>
      <w:r w:rsidRPr="00917894">
        <w:rPr>
          <w:rFonts w:ascii="Arial" w:hAnsi="Arial" w:cs="Arial"/>
          <w:sz w:val="20"/>
          <w:szCs w:val="20"/>
        </w:rPr>
        <w:t xml:space="preserve"> 2020: 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89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CPA Vietnam Auditing Co., Ltd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894">
        <w:rPr>
          <w:rFonts w:ascii="Arial" w:hAnsi="Arial" w:cs="Arial"/>
          <w:sz w:val="20"/>
          <w:szCs w:val="20"/>
        </w:rPr>
        <w:t>2. UHY A</w:t>
      </w:r>
      <w:r>
        <w:rPr>
          <w:rFonts w:ascii="Arial" w:hAnsi="Arial" w:cs="Arial"/>
          <w:sz w:val="20"/>
          <w:szCs w:val="20"/>
        </w:rPr>
        <w:t>uditing and Consulting Co., Ltd</w:t>
      </w:r>
    </w:p>
    <w:p w:rsidR="00917894" w:rsidRDefault="00917894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89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AASC Auditing Firm C</w:t>
      </w:r>
      <w:r w:rsidR="00757611">
        <w:rPr>
          <w:rFonts w:ascii="Arial" w:hAnsi="Arial" w:cs="Arial"/>
          <w:sz w:val="20"/>
          <w:szCs w:val="20"/>
        </w:rPr>
        <w:t>o., Ltd (AASC)</w:t>
      </w:r>
    </w:p>
    <w:p w:rsidR="00757611" w:rsidRDefault="00757611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</w:t>
      </w:r>
      <w:r w:rsidRPr="00757611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pproving the ratification of</w:t>
      </w:r>
      <w:r w:rsidRPr="00757611">
        <w:rPr>
          <w:rFonts w:ascii="Arial" w:hAnsi="Arial" w:cs="Arial"/>
          <w:sz w:val="20"/>
          <w:szCs w:val="20"/>
        </w:rPr>
        <w:t xml:space="preserve"> Chairman of the Board of</w:t>
      </w:r>
      <w:r>
        <w:rPr>
          <w:rFonts w:ascii="Arial" w:hAnsi="Arial" w:cs="Arial"/>
          <w:sz w:val="20"/>
          <w:szCs w:val="20"/>
        </w:rPr>
        <w:t xml:space="preserve"> Directors cum Director of the Company</w:t>
      </w:r>
    </w:p>
    <w:p w:rsidR="00757611" w:rsidRDefault="00757611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</w:t>
      </w:r>
      <w:r w:rsidRPr="00757611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annual General Mandate was</w:t>
      </w:r>
      <w:r w:rsidRPr="00757611">
        <w:rPr>
          <w:rFonts w:ascii="Arial" w:hAnsi="Arial" w:cs="Arial"/>
          <w:sz w:val="20"/>
          <w:szCs w:val="20"/>
        </w:rPr>
        <w:t xml:space="preserve"> approved by the Annual General Meeting of Shareholders of Material trading and construction Joint Stock Company at</w:t>
      </w:r>
      <w:r>
        <w:rPr>
          <w:rFonts w:ascii="Arial" w:hAnsi="Arial" w:cs="Arial"/>
          <w:sz w:val="20"/>
          <w:szCs w:val="20"/>
        </w:rPr>
        <w:t xml:space="preserve"> the meeting on June 30, 2020. </w:t>
      </w:r>
      <w:r w:rsidRPr="0075761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757611">
        <w:rPr>
          <w:rFonts w:ascii="Arial" w:hAnsi="Arial" w:cs="Arial"/>
          <w:sz w:val="20"/>
          <w:szCs w:val="20"/>
        </w:rPr>
        <w:t xml:space="preserve">agreed to assign 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Pr="00757611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Management Board</w:t>
      </w:r>
      <w:r w:rsidRPr="00757611">
        <w:rPr>
          <w:rFonts w:ascii="Arial" w:hAnsi="Arial" w:cs="Arial"/>
          <w:sz w:val="20"/>
          <w:szCs w:val="20"/>
        </w:rPr>
        <w:t xml:space="preserve"> of Material trading and construction Joint Stock Company to monitor and inspect the implementation of this </w:t>
      </w:r>
      <w:r>
        <w:rPr>
          <w:rFonts w:ascii="Arial" w:hAnsi="Arial" w:cs="Arial"/>
          <w:sz w:val="20"/>
          <w:szCs w:val="20"/>
        </w:rPr>
        <w:t>annual General Mandate</w:t>
      </w:r>
      <w:r w:rsidRPr="00757611">
        <w:rPr>
          <w:rFonts w:ascii="Arial" w:hAnsi="Arial" w:cs="Arial"/>
          <w:sz w:val="20"/>
          <w:szCs w:val="20"/>
        </w:rPr>
        <w:t xml:space="preserve"> on t</w:t>
      </w:r>
      <w:r>
        <w:rPr>
          <w:rFonts w:ascii="Arial" w:hAnsi="Arial" w:cs="Arial"/>
          <w:sz w:val="20"/>
          <w:szCs w:val="20"/>
        </w:rPr>
        <w:t>he basis of ensuring benefits of the C</w:t>
      </w:r>
      <w:r w:rsidRPr="00757611">
        <w:rPr>
          <w:rFonts w:ascii="Arial" w:hAnsi="Arial" w:cs="Arial"/>
          <w:sz w:val="20"/>
          <w:szCs w:val="20"/>
        </w:rPr>
        <w:t>ompany,</w:t>
      </w:r>
      <w:r>
        <w:rPr>
          <w:rFonts w:ascii="Arial" w:hAnsi="Arial" w:cs="Arial"/>
          <w:sz w:val="20"/>
          <w:szCs w:val="20"/>
        </w:rPr>
        <w:t xml:space="preserve"> </w:t>
      </w:r>
      <w:r w:rsidRPr="00757611">
        <w:rPr>
          <w:rFonts w:ascii="Arial" w:hAnsi="Arial" w:cs="Arial"/>
          <w:sz w:val="20"/>
          <w:szCs w:val="20"/>
        </w:rPr>
        <w:t>shareholders in accordance with the Charte</w:t>
      </w:r>
      <w:r>
        <w:rPr>
          <w:rFonts w:ascii="Arial" w:hAnsi="Arial" w:cs="Arial"/>
          <w:sz w:val="20"/>
          <w:szCs w:val="20"/>
        </w:rPr>
        <w:t>r and current legal provisions</w:t>
      </w:r>
    </w:p>
    <w:p w:rsidR="00757611" w:rsidRPr="00E91C83" w:rsidRDefault="00757611" w:rsidP="00E91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12:</w:t>
      </w:r>
      <w:r w:rsidRPr="00757611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annual General Mandate</w:t>
      </w:r>
      <w:r w:rsidRPr="00757611">
        <w:rPr>
          <w:rFonts w:ascii="Arial" w:hAnsi="Arial" w:cs="Arial"/>
          <w:sz w:val="20"/>
          <w:szCs w:val="20"/>
        </w:rPr>
        <w:t xml:space="preserve"> takes effect from the date of signing</w:t>
      </w:r>
      <w:r w:rsidR="005C30AE">
        <w:rPr>
          <w:rFonts w:ascii="Arial" w:hAnsi="Arial" w:cs="Arial"/>
          <w:sz w:val="20"/>
          <w:szCs w:val="20"/>
        </w:rPr>
        <w:t>.</w:t>
      </w:r>
    </w:p>
    <w:sectPr w:rsidR="00757611" w:rsidRPr="00E9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C8E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7464D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1BEF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67E8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2603"/>
    <w:rsid w:val="00496733"/>
    <w:rsid w:val="004A554D"/>
    <w:rsid w:val="004B2BA6"/>
    <w:rsid w:val="004B473F"/>
    <w:rsid w:val="004B4798"/>
    <w:rsid w:val="004C144F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30AE"/>
    <w:rsid w:val="005C57E0"/>
    <w:rsid w:val="005D7F9C"/>
    <w:rsid w:val="005E7B32"/>
    <w:rsid w:val="005F7ED5"/>
    <w:rsid w:val="006000D8"/>
    <w:rsid w:val="00604110"/>
    <w:rsid w:val="006152BC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611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17894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D7ABE"/>
    <w:rsid w:val="009E1744"/>
    <w:rsid w:val="009E4AC5"/>
    <w:rsid w:val="009F27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3651F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00E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2C5D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1C83"/>
    <w:rsid w:val="00E940FA"/>
    <w:rsid w:val="00E96289"/>
    <w:rsid w:val="00E96D65"/>
    <w:rsid w:val="00EA4C28"/>
    <w:rsid w:val="00EA6EE7"/>
    <w:rsid w:val="00EC2D2D"/>
    <w:rsid w:val="00EC37DE"/>
    <w:rsid w:val="00EC618B"/>
    <w:rsid w:val="00ED3B40"/>
    <w:rsid w:val="00ED6D41"/>
    <w:rsid w:val="00EE5769"/>
    <w:rsid w:val="00EF091F"/>
    <w:rsid w:val="00EF47D6"/>
    <w:rsid w:val="00F011C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C8D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332</cp:revision>
  <dcterms:created xsi:type="dcterms:W3CDTF">2019-10-16T10:03:00Z</dcterms:created>
  <dcterms:modified xsi:type="dcterms:W3CDTF">2020-07-07T04:03:00Z</dcterms:modified>
</cp:coreProperties>
</file>